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нормативно-правовые акты в сфере образования и нормы профессиональной этики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методами применения правовых, нравственных и  этических норм, требований профессиональной  этики  в  условиях реальных педагогических ситуаций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осуществления  профессиональной  деятельности  в соответствии  с  требованиями  ФГОС  образования обучающихся  с  умственной отсталостью  и  адаптированной основной  образовательной программы</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культурные особенности и традиции различных социальных групп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этапы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способы толерантного и  конструктивного взаимодействия с людьми людьми с учетом их социокультурных особенностей</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учитывать социокультурные особенности людей в процессе взаимодействия в  целях успешного выполнения профессиональных  задач  и  усиления социальной интеграции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Специальная педагогика</w:t>
            </w:r>
          </w:p>
          <w:p>
            <w:pPr>
              <w:jc w:val="center"/>
              <w:spacing w:after="0" w:line="240" w:lineRule="auto"/>
              <w:rPr>
                <w:sz w:val="22"/>
                <w:szCs w:val="22"/>
              </w:rPr>
            </w:pPr>
            <w:r>
              <w:rPr>
                <w:rFonts w:ascii="Times New Roman" w:hAnsi="Times New Roman" w:cs="Times New Roman"/>
                <w:color w:val="#000000"/>
                <w:sz w:val="22"/>
                <w:szCs w:val="22"/>
              </w:rPr>
              <w:t> Отечественная и зарубежная литература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ОПК-1</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802.5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17.8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2023-2024_ФГОС3++2023_Бак-ОФО-СДО(Олигоф)(23)_plx_Философия</dc:title>
  <dc:creator>FastReport.NET</dc:creator>
</cp:coreProperties>
</file>